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D27E8">
      <w:pPr>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中国科学院大学</w:t>
      </w:r>
    </w:p>
    <w:p w14:paraId="0DF8176B">
      <w:pPr>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研究生课程学习管理规定</w:t>
      </w:r>
    </w:p>
    <w:p w14:paraId="7B71D667">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课程学习是研究生培养的重要环节。为规范研究生课程学习，结合学校教学工作实际，特制定本规定。</w:t>
      </w:r>
    </w:p>
    <w:p w14:paraId="23DA0446">
      <w:pPr>
        <w:jc w:val="center"/>
        <w:rPr>
          <w:rFonts w:ascii="Times New Roman" w:hAnsi="Times New Roman" w:eastAsia="仿宋_GB2312" w:cs="仿宋_GB2312"/>
          <w:sz w:val="32"/>
          <w:szCs w:val="32"/>
        </w:rPr>
      </w:pPr>
      <w:r>
        <w:rPr>
          <w:rFonts w:hint="eastAsia" w:ascii="Times New Roman" w:hAnsi="Times New Roman" w:eastAsia="黑体" w:cs="黑体"/>
          <w:sz w:val="32"/>
          <w:szCs w:val="32"/>
        </w:rPr>
        <w:t>第一章</w:t>
      </w:r>
      <w:r>
        <w:rPr>
          <w:rFonts w:ascii="Times New Roman" w:hAnsi="Times New Roman" w:eastAsia="黑体" w:cs="黑体"/>
          <w:sz w:val="32"/>
          <w:szCs w:val="32"/>
        </w:rPr>
        <w:tab/>
      </w:r>
      <w:r>
        <w:rPr>
          <w:rFonts w:hint="eastAsia" w:ascii="Times New Roman" w:hAnsi="Times New Roman" w:eastAsia="黑体" w:cs="黑体"/>
          <w:sz w:val="32"/>
          <w:szCs w:val="32"/>
        </w:rPr>
        <w:t>总则</w:t>
      </w:r>
    </w:p>
    <w:p w14:paraId="0A3E5567">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第一条</w:t>
      </w:r>
      <w:r>
        <w:rPr>
          <w:rFonts w:hint="eastAsia" w:ascii="Times New Roman" w:hAnsi="Times New Roman" w:eastAsia="仿宋_GB2312" w:cs="仿宋_GB2312"/>
          <w:sz w:val="32"/>
          <w:szCs w:val="32"/>
        </w:rPr>
        <w:t xml:space="preserve">  本规定旨在规范中国科学院大学（以下简称“国科大”）在学研究生有关课程、选课、考核及成绩等课程学习过程中的相关事项。</w:t>
      </w:r>
    </w:p>
    <w:p w14:paraId="02479181">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第二条</w:t>
      </w:r>
      <w:r>
        <w:rPr>
          <w:rFonts w:hint="eastAsia" w:ascii="Times New Roman" w:hAnsi="Times New Roman" w:eastAsia="仿宋_GB2312" w:cs="仿宋_GB2312"/>
          <w:sz w:val="32"/>
          <w:szCs w:val="32"/>
        </w:rPr>
        <w:t xml:space="preserve">  本规定中的“研究生”指按照国家招生计划录取的、在国科大正式注册攻读学位的研究生，包括硕士研究生（以下简称“硕士生”）、硕博连读研究生（以下简称“硕博生”）、直接攻博研究生（以下简称“直博生”）和普通招考博士研究生（以下简称“普博生”）。</w:t>
      </w:r>
    </w:p>
    <w:p w14:paraId="50A3C9B7">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第三条</w:t>
      </w:r>
      <w:r>
        <w:rPr>
          <w:rFonts w:hint="eastAsia" w:ascii="Times New Roman" w:hAnsi="Times New Roman" w:eastAsia="仿宋_GB2312" w:cs="仿宋_GB2312"/>
          <w:sz w:val="32"/>
          <w:szCs w:val="32"/>
        </w:rPr>
        <w:t xml:space="preserve">  国科大研究生的培养包括集中教学、所级教学及培养单位的科研实践阶段。集中教学一般为期一学年，包括秋季、春季和夏季学期。硕士生、硕博生和直博生须参加集中教学阶段的课程学习；普博生可参加集中教学，也可在培养单位或教育基地完成课程学习。</w:t>
      </w:r>
    </w:p>
    <w:p w14:paraId="653978FC">
      <w:pPr>
        <w:jc w:val="center"/>
        <w:rPr>
          <w:rFonts w:hint="eastAsia" w:ascii="黑体" w:hAnsi="黑体" w:eastAsia="黑体" w:cs="黑体"/>
          <w:sz w:val="32"/>
          <w:szCs w:val="32"/>
        </w:rPr>
      </w:pPr>
      <w:r>
        <w:rPr>
          <w:rFonts w:hint="eastAsia" w:ascii="黑体" w:hAnsi="黑体" w:eastAsia="黑体" w:cs="黑体"/>
          <w:sz w:val="32"/>
          <w:szCs w:val="32"/>
        </w:rPr>
        <w:t>第二章</w:t>
      </w:r>
      <w:r>
        <w:rPr>
          <w:rFonts w:ascii="黑体" w:hAnsi="黑体" w:eastAsia="黑体" w:cs="黑体"/>
          <w:sz w:val="32"/>
          <w:szCs w:val="32"/>
        </w:rPr>
        <w:tab/>
      </w:r>
      <w:r>
        <w:rPr>
          <w:rFonts w:hint="eastAsia" w:ascii="黑体" w:hAnsi="黑体" w:eastAsia="黑体" w:cs="黑体"/>
          <w:sz w:val="32"/>
          <w:szCs w:val="32"/>
        </w:rPr>
        <w:t>选课要求</w:t>
      </w:r>
    </w:p>
    <w:p w14:paraId="50EFA731">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第四条</w:t>
      </w:r>
      <w:r>
        <w:rPr>
          <w:rFonts w:hint="eastAsia" w:ascii="Times New Roman" w:hAnsi="Times New Roman" w:eastAsia="仿宋_GB2312" w:cs="仿宋_GB2312"/>
          <w:sz w:val="32"/>
          <w:szCs w:val="32"/>
        </w:rPr>
        <w:t xml:space="preserve">  研究生应按照所在学科、专业的培养方案及相关要求，参照校历和课程开设表，在导师和培养单位的指导下，合理规划课程修读计划，选择符合培养要求的课程进行学习，按规定完成各类课程的学习任务，确保修满培养方案中明确规定的课程学习学分。</w:t>
      </w:r>
    </w:p>
    <w:p w14:paraId="13C56D8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第五条</w:t>
      </w:r>
      <w:r>
        <w:rPr>
          <w:rFonts w:hint="eastAsia" w:ascii="Times New Roman" w:hAnsi="Times New Roman" w:eastAsia="仿宋_GB2312" w:cs="仿宋_GB2312"/>
          <w:sz w:val="32"/>
          <w:szCs w:val="32"/>
        </w:rPr>
        <w:t xml:space="preserve">  研究生参加课程学习，须通过选课系统完成选课，修完课程并考核合格，才能获得相应课程的学分。</w:t>
      </w:r>
    </w:p>
    <w:p w14:paraId="124A6E7D">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第六条</w:t>
      </w:r>
      <w:r>
        <w:rPr>
          <w:rFonts w:hint="eastAsia" w:ascii="Times New Roman" w:hAnsi="Times New Roman" w:eastAsia="仿宋_GB2312" w:cs="仿宋_GB2312"/>
          <w:sz w:val="32"/>
          <w:szCs w:val="32"/>
        </w:rPr>
        <w:t xml:space="preserve">  研究生须在规定时间内，通过选课系统完成选课、提交及导师和培养单位审核等环节。选课时须明确修读的核心课和专业课是否作为学位课。</w:t>
      </w:r>
    </w:p>
    <w:p w14:paraId="586A3F1A">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第七条</w:t>
      </w:r>
      <w:r>
        <w:rPr>
          <w:rFonts w:hint="eastAsia" w:ascii="Times New Roman" w:hAnsi="Times New Roman" w:eastAsia="仿宋_GB2312" w:cs="仿宋_GB2312"/>
          <w:sz w:val="32"/>
          <w:szCs w:val="32"/>
        </w:rPr>
        <w:t xml:space="preserve">  研究生如在选课结束后有增、退选课程或修改学位课属性的需求，须在选课系统中提交申请并经导师、培养单位等审核通过。增选课程，须在课程开课两周内且学时完成四分之一（含）前申请；退选课程，须在课程学时完成一半（含）前申请；修改学位课属性，须最晚于课程考核前十天申请。</w:t>
      </w:r>
    </w:p>
    <w:p w14:paraId="7FCD950B">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第八条</w:t>
      </w:r>
      <w:r>
        <w:rPr>
          <w:rFonts w:hint="eastAsia" w:ascii="Times New Roman" w:hAnsi="Times New Roman" w:eastAsia="仿宋_GB2312" w:cs="仿宋_GB2312"/>
          <w:sz w:val="32"/>
          <w:szCs w:val="32"/>
        </w:rPr>
        <w:t xml:space="preserve">  研究生如在培养过程中变更学科、专业，须根据新学科、专业学位的培养要求修读相关课程或变更已修读课程为学位课或非学位课。</w:t>
      </w:r>
    </w:p>
    <w:p w14:paraId="169F2D86">
      <w:pPr>
        <w:ind w:firstLine="643" w:firstLineChars="200"/>
        <w:rPr>
          <w:rStyle w:val="11"/>
        </w:rPr>
      </w:pPr>
      <w:r>
        <w:rPr>
          <w:rFonts w:hint="eastAsia" w:ascii="Times New Roman" w:hAnsi="Times New Roman" w:eastAsia="仿宋_GB2312" w:cs="仿宋_GB2312"/>
          <w:b/>
          <w:bCs/>
          <w:sz w:val="32"/>
          <w:szCs w:val="32"/>
        </w:rPr>
        <w:t>第九条</w:t>
      </w:r>
      <w:r>
        <w:rPr>
          <w:rFonts w:hint="eastAsia" w:ascii="Times New Roman" w:hAnsi="Times New Roman" w:eastAsia="仿宋_GB2312" w:cs="仿宋_GB2312"/>
          <w:sz w:val="32"/>
          <w:szCs w:val="32"/>
        </w:rPr>
        <w:t xml:space="preserve">  研究生如确有必要可修读其他高校课程（以下简称“外选课”）并计入课程总学分，须经培养单位和教务部审核备案。集中教学阶段，每名研究生每学年至多修读2门专业类外选课。</w:t>
      </w:r>
    </w:p>
    <w:p w14:paraId="3BA85A1F">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第十条</w:t>
      </w:r>
      <w:r>
        <w:rPr>
          <w:rFonts w:hint="eastAsia" w:ascii="Times New Roman" w:hAnsi="Times New Roman" w:eastAsia="仿宋_GB2312" w:cs="仿宋_GB2312"/>
          <w:sz w:val="32"/>
          <w:szCs w:val="32"/>
        </w:rPr>
        <w:t xml:space="preserve">  参加集中教学的硕士生、硕博生和直博生，在秋季和春季学期中，每学期修读的课程总学分一般不少于10学分。</w:t>
      </w:r>
    </w:p>
    <w:p w14:paraId="45DFB38A">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第十一条</w:t>
      </w:r>
      <w:r>
        <w:rPr>
          <w:rFonts w:hint="eastAsia" w:ascii="Times New Roman" w:hAnsi="Times New Roman" w:eastAsia="仿宋_GB2312" w:cs="仿宋_GB2312"/>
          <w:sz w:val="32"/>
          <w:szCs w:val="32"/>
        </w:rPr>
        <w:t xml:space="preserve">  普博生修读的硕士层次课程，不计入博士毕业学分，成绩单不予记载。</w:t>
      </w:r>
    </w:p>
    <w:p w14:paraId="5E65BA75">
      <w:pPr>
        <w:jc w:val="center"/>
        <w:rPr>
          <w:rFonts w:ascii="Times New Roman" w:hAnsi="Times New Roman" w:eastAsia="仿宋_GB2312" w:cs="仿宋_GB2312"/>
          <w:sz w:val="32"/>
          <w:szCs w:val="32"/>
        </w:rPr>
      </w:pPr>
      <w:r>
        <w:rPr>
          <w:rFonts w:hint="eastAsia" w:ascii="黑体" w:hAnsi="黑体" w:eastAsia="黑体" w:cs="黑体"/>
          <w:sz w:val="32"/>
          <w:szCs w:val="32"/>
        </w:rPr>
        <w:t>第三章 课程考核和成绩记载</w:t>
      </w:r>
    </w:p>
    <w:p w14:paraId="4DB1D04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第十二条</w:t>
      </w:r>
      <w:r>
        <w:rPr>
          <w:rFonts w:hint="eastAsia" w:ascii="Times New Roman" w:hAnsi="Times New Roman" w:eastAsia="仿宋_GB2312" w:cs="仿宋_GB2312"/>
          <w:sz w:val="32"/>
          <w:szCs w:val="32"/>
        </w:rPr>
        <w:t xml:space="preserve">  研究生在完成选课、修读课程后，须参加课程考核。研究生须自觉遵守课程考核纪律，违者按照相关规定处理。</w:t>
      </w:r>
    </w:p>
    <w:p w14:paraId="71A8BD17">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第十三条</w:t>
      </w:r>
      <w:r>
        <w:rPr>
          <w:rFonts w:hint="eastAsia" w:ascii="Times New Roman" w:hAnsi="Times New Roman" w:eastAsia="仿宋_GB2312" w:cs="仿宋_GB2312"/>
          <w:sz w:val="32"/>
          <w:szCs w:val="32"/>
        </w:rPr>
        <w:t xml:space="preserve">  研究生课程考核成绩采用百分制、四级制（优秀、良好、及格和不及格）和二级制（通过、未通过）记录。其中，四级制中优秀、良好、及格和不及格分别对应百分制成绩中的86-100分、70-85分、60-69和0-59分。考核成绩低于60分、不及格和未通过统称为不合格成绩。</w:t>
      </w:r>
    </w:p>
    <w:p w14:paraId="59ACA8D3">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第十四条</w:t>
      </w:r>
      <w:r>
        <w:rPr>
          <w:rFonts w:hint="eastAsia" w:ascii="Times New Roman" w:hAnsi="Times New Roman" w:eastAsia="仿宋_GB2312" w:cs="仿宋_GB2312"/>
          <w:sz w:val="32"/>
          <w:szCs w:val="32"/>
        </w:rPr>
        <w:t xml:space="preserve">  研究生经批准修读其他高校课程，须持外选课开课单位校级成绩管理部门开具的正式成绩单登录成绩。如外选课的成绩记录方式与国科大成绩记录方式不一致，由培养单位根据外选课程特点，参照所在学科相近课程的考核难易程度换算为国科大的成绩记录方式。</w:t>
      </w:r>
    </w:p>
    <w:p w14:paraId="34FE2AE1">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第十五条</w:t>
      </w:r>
      <w:r>
        <w:rPr>
          <w:rFonts w:hint="eastAsia" w:ascii="Times New Roman" w:hAnsi="Times New Roman" w:eastAsia="仿宋_GB2312" w:cs="仿宋_GB2312"/>
          <w:sz w:val="32"/>
          <w:szCs w:val="32"/>
        </w:rPr>
        <w:t xml:space="preserve">  研究生课程平均学分绩点（GPA，Grade Point Average）的计算方法为：GPA=所学课程学分绩点总和÷所学课程学分数总和；一门课程的学分绩点=绩点数×学分数，考核成绩采取二级制记分的课程，不计入GPA统计。研究生课程成绩等级与绩点换算关系表如下：</w:t>
      </w:r>
    </w:p>
    <w:p w14:paraId="02DEA26D">
      <w:pPr>
        <w:widowControl/>
        <w:jc w:val="center"/>
        <w:rPr>
          <w:rFonts w:hint="eastAsia" w:ascii="黑体" w:hAnsi="黑体" w:eastAsia="仿宋_GB2312" w:cs="宋体"/>
          <w:kern w:val="0"/>
          <w:sz w:val="28"/>
          <w:szCs w:val="28"/>
          <w:lang w:bidi="mn-Mong-CN"/>
        </w:rPr>
      </w:pPr>
      <w:r>
        <w:rPr>
          <w:rFonts w:hint="eastAsia" w:ascii="黑体" w:hAnsi="黑体" w:eastAsia="仿宋_GB2312" w:cs="宋体"/>
          <w:kern w:val="0"/>
          <w:sz w:val="28"/>
          <w:szCs w:val="28"/>
          <w:lang w:bidi="mn-Mong-CN"/>
        </w:rPr>
        <w:t>研究生课程成绩等级与绩点换算关系表</w:t>
      </w:r>
    </w:p>
    <w:tbl>
      <w:tblPr>
        <w:tblStyle w:val="8"/>
        <w:tblW w:w="8578" w:type="dxa"/>
        <w:tblInd w:w="0" w:type="dxa"/>
        <w:tblLayout w:type="fixed"/>
        <w:tblCellMar>
          <w:top w:w="0" w:type="dxa"/>
          <w:left w:w="0" w:type="dxa"/>
          <w:bottom w:w="0" w:type="dxa"/>
          <w:right w:w="0" w:type="dxa"/>
        </w:tblCellMar>
      </w:tblPr>
      <w:tblGrid>
        <w:gridCol w:w="601"/>
        <w:gridCol w:w="765"/>
        <w:gridCol w:w="601"/>
        <w:gridCol w:w="601"/>
        <w:gridCol w:w="601"/>
        <w:gridCol w:w="601"/>
        <w:gridCol w:w="601"/>
        <w:gridCol w:w="601"/>
        <w:gridCol w:w="601"/>
        <w:gridCol w:w="601"/>
        <w:gridCol w:w="601"/>
        <w:gridCol w:w="601"/>
        <w:gridCol w:w="601"/>
        <w:gridCol w:w="601"/>
      </w:tblGrid>
      <w:tr w14:paraId="1B0F486D">
        <w:tblPrEx>
          <w:tblCellMar>
            <w:top w:w="0" w:type="dxa"/>
            <w:left w:w="0" w:type="dxa"/>
            <w:bottom w:w="0" w:type="dxa"/>
            <w:right w:w="0" w:type="dxa"/>
          </w:tblCellMar>
        </w:tblPrEx>
        <w:trPr>
          <w:trHeight w:val="539" w:hRule="atLeast"/>
        </w:trPr>
        <w:tc>
          <w:tcPr>
            <w:tcW w:w="601" w:type="dxa"/>
            <w:tcBorders>
              <w:top w:val="single" w:color="auto" w:sz="6" w:space="0"/>
              <w:left w:val="single" w:color="auto" w:sz="6" w:space="0"/>
              <w:bottom w:val="nil"/>
              <w:right w:val="nil"/>
            </w:tcBorders>
            <w:noWrap/>
            <w:tcMar>
              <w:top w:w="0" w:type="dxa"/>
              <w:left w:w="105" w:type="dxa"/>
              <w:bottom w:w="0" w:type="dxa"/>
              <w:right w:w="105" w:type="dxa"/>
            </w:tcMar>
            <w:vAlign w:val="center"/>
          </w:tcPr>
          <w:p w14:paraId="387C1B8F">
            <w:pPr>
              <w:widowControl/>
              <w:jc w:val="center"/>
              <w:rPr>
                <w:rFonts w:hint="eastAsia" w:ascii="宋体" w:hAnsi="宋体" w:eastAsia="仿宋_GB2312" w:cs="宋体"/>
                <w:kern w:val="0"/>
                <w:sz w:val="18"/>
                <w:szCs w:val="18"/>
                <w:lang w:bidi="mn-Mong-CN"/>
              </w:rPr>
            </w:pPr>
          </w:p>
        </w:tc>
        <w:tc>
          <w:tcPr>
            <w:tcW w:w="765" w:type="dxa"/>
            <w:tcBorders>
              <w:top w:val="single" w:color="auto" w:sz="6" w:space="0"/>
              <w:left w:val="single" w:color="auto" w:sz="6" w:space="0"/>
              <w:bottom w:val="single" w:color="auto" w:sz="6" w:space="0"/>
              <w:right w:val="nil"/>
            </w:tcBorders>
            <w:tcMar>
              <w:top w:w="0" w:type="dxa"/>
              <w:left w:w="105" w:type="dxa"/>
              <w:bottom w:w="0" w:type="dxa"/>
              <w:right w:w="105" w:type="dxa"/>
            </w:tcMar>
            <w:vAlign w:val="center"/>
          </w:tcPr>
          <w:p w14:paraId="6C6B0329">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四级制</w:t>
            </w:r>
          </w:p>
        </w:tc>
        <w:tc>
          <w:tcPr>
            <w:tcW w:w="7212" w:type="dxa"/>
            <w:gridSpan w:val="12"/>
            <w:tcBorders>
              <w:top w:val="single" w:color="auto" w:sz="6" w:space="0"/>
              <w:left w:val="double" w:color="auto" w:sz="6" w:space="0"/>
              <w:bottom w:val="single" w:color="auto" w:sz="6" w:space="0"/>
              <w:right w:val="single" w:color="auto" w:sz="6" w:space="0"/>
            </w:tcBorders>
            <w:tcMar>
              <w:top w:w="0" w:type="dxa"/>
              <w:left w:w="105" w:type="dxa"/>
              <w:bottom w:w="0" w:type="dxa"/>
              <w:right w:w="105" w:type="dxa"/>
            </w:tcMar>
            <w:vAlign w:val="center"/>
          </w:tcPr>
          <w:p w14:paraId="0FFD29D7">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百分制</w:t>
            </w:r>
          </w:p>
        </w:tc>
      </w:tr>
      <w:tr w14:paraId="79AE0AB4">
        <w:tblPrEx>
          <w:tblCellMar>
            <w:top w:w="0" w:type="dxa"/>
            <w:left w:w="0" w:type="dxa"/>
            <w:bottom w:w="0" w:type="dxa"/>
            <w:right w:w="0" w:type="dxa"/>
          </w:tblCellMar>
        </w:tblPrEx>
        <w:trPr>
          <w:trHeight w:val="539" w:hRule="atLeast"/>
        </w:trPr>
        <w:tc>
          <w:tcPr>
            <w:tcW w:w="60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52D42AFB">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成绩</w:t>
            </w:r>
          </w:p>
        </w:tc>
        <w:tc>
          <w:tcPr>
            <w:tcW w:w="765" w:type="dxa"/>
            <w:tcBorders>
              <w:top w:val="nil"/>
              <w:left w:val="nil"/>
              <w:bottom w:val="single" w:color="auto" w:sz="6" w:space="0"/>
              <w:right w:val="double" w:color="auto" w:sz="6" w:space="0"/>
            </w:tcBorders>
            <w:noWrap/>
            <w:tcMar>
              <w:top w:w="0" w:type="dxa"/>
              <w:left w:w="105" w:type="dxa"/>
              <w:bottom w:w="0" w:type="dxa"/>
              <w:right w:w="105" w:type="dxa"/>
            </w:tcMar>
            <w:vAlign w:val="center"/>
          </w:tcPr>
          <w:p w14:paraId="60644347">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color w:val="000000"/>
                <w:kern w:val="0"/>
                <w:sz w:val="18"/>
                <w:szCs w:val="18"/>
                <w:lang w:bidi="mn-Mong-CN"/>
              </w:rPr>
              <w:t>优秀</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373EC499">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90-</w:t>
            </w:r>
          </w:p>
          <w:p w14:paraId="180FB854">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100</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52ED73FC">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87-</w:t>
            </w:r>
          </w:p>
          <w:p w14:paraId="4D7E1547">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89</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619291E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86</w:t>
            </w: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3D8F533E">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2E58E8BF">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0AD9D76E">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707B8E81">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67676A94">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1C999219">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527FA627">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675DECAF">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2D0037AB">
            <w:pPr>
              <w:widowControl/>
              <w:jc w:val="center"/>
              <w:rPr>
                <w:rFonts w:hint="eastAsia" w:ascii="宋体" w:hAnsi="宋体" w:eastAsia="仿宋_GB2312" w:cs="宋体"/>
                <w:kern w:val="0"/>
                <w:sz w:val="18"/>
                <w:szCs w:val="18"/>
                <w:lang w:bidi="mn-Mong-CN"/>
              </w:rPr>
            </w:pPr>
          </w:p>
        </w:tc>
      </w:tr>
      <w:tr w14:paraId="5A013E2B">
        <w:tblPrEx>
          <w:tblCellMar>
            <w:top w:w="0" w:type="dxa"/>
            <w:left w:w="0" w:type="dxa"/>
            <w:bottom w:w="0" w:type="dxa"/>
            <w:right w:w="0" w:type="dxa"/>
          </w:tblCellMar>
        </w:tblPrEx>
        <w:trPr>
          <w:trHeight w:val="539" w:hRule="atLeast"/>
        </w:trPr>
        <w:tc>
          <w:tcPr>
            <w:tcW w:w="601" w:type="dxa"/>
            <w:tcBorders>
              <w:top w:val="nil"/>
              <w:left w:val="single" w:color="auto" w:sz="6" w:space="0"/>
              <w:bottom w:val="double" w:color="auto" w:sz="6" w:space="0"/>
              <w:right w:val="single" w:color="auto" w:sz="6" w:space="0"/>
            </w:tcBorders>
            <w:tcMar>
              <w:top w:w="0" w:type="dxa"/>
              <w:left w:w="105" w:type="dxa"/>
              <w:bottom w:w="0" w:type="dxa"/>
              <w:right w:w="105" w:type="dxa"/>
            </w:tcMar>
            <w:vAlign w:val="center"/>
          </w:tcPr>
          <w:p w14:paraId="32295A58">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绩点</w:t>
            </w:r>
          </w:p>
        </w:tc>
        <w:tc>
          <w:tcPr>
            <w:tcW w:w="765" w:type="dxa"/>
            <w:tcBorders>
              <w:top w:val="nil"/>
              <w:left w:val="nil"/>
              <w:bottom w:val="double" w:color="auto" w:sz="6" w:space="0"/>
              <w:right w:val="double" w:color="auto" w:sz="6" w:space="0"/>
            </w:tcBorders>
            <w:noWrap/>
            <w:tcMar>
              <w:top w:w="0" w:type="dxa"/>
              <w:left w:w="105" w:type="dxa"/>
              <w:bottom w:w="0" w:type="dxa"/>
              <w:right w:w="105" w:type="dxa"/>
            </w:tcMar>
            <w:vAlign w:val="center"/>
          </w:tcPr>
          <w:p w14:paraId="05E1DFF0">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4</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5C1B72D4">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4</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0DF58505">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3.9</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7EAB63BB">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3.8</w:t>
            </w: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05DDC402">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2D1F1A66">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7CF77E20">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339960B9">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153D0178">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7B100BAF">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79D0A587">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3C414CBC">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326865CA">
            <w:pPr>
              <w:widowControl/>
              <w:jc w:val="center"/>
              <w:rPr>
                <w:rFonts w:hint="eastAsia" w:ascii="宋体" w:hAnsi="宋体" w:eastAsia="仿宋_GB2312" w:cs="宋体"/>
                <w:kern w:val="0"/>
                <w:sz w:val="18"/>
                <w:szCs w:val="18"/>
                <w:lang w:bidi="mn-Mong-CN"/>
              </w:rPr>
            </w:pPr>
          </w:p>
        </w:tc>
      </w:tr>
      <w:tr w14:paraId="0E2C041B">
        <w:tblPrEx>
          <w:tblCellMar>
            <w:top w:w="0" w:type="dxa"/>
            <w:left w:w="0" w:type="dxa"/>
            <w:bottom w:w="0" w:type="dxa"/>
            <w:right w:w="0" w:type="dxa"/>
          </w:tblCellMar>
        </w:tblPrEx>
        <w:trPr>
          <w:trHeight w:val="539" w:hRule="atLeast"/>
        </w:trPr>
        <w:tc>
          <w:tcPr>
            <w:tcW w:w="60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2B5780FC">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成绩</w:t>
            </w:r>
          </w:p>
        </w:tc>
        <w:tc>
          <w:tcPr>
            <w:tcW w:w="765" w:type="dxa"/>
            <w:tcBorders>
              <w:top w:val="nil"/>
              <w:left w:val="nil"/>
              <w:bottom w:val="single" w:color="auto" w:sz="6" w:space="0"/>
              <w:right w:val="double" w:color="auto" w:sz="6" w:space="0"/>
            </w:tcBorders>
            <w:noWrap/>
            <w:tcMar>
              <w:top w:w="0" w:type="dxa"/>
              <w:left w:w="105" w:type="dxa"/>
              <w:bottom w:w="0" w:type="dxa"/>
              <w:right w:w="105" w:type="dxa"/>
            </w:tcMar>
            <w:vAlign w:val="center"/>
          </w:tcPr>
          <w:p w14:paraId="7B099170">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color w:val="000000"/>
                <w:kern w:val="0"/>
                <w:sz w:val="18"/>
                <w:szCs w:val="18"/>
                <w:lang w:bidi="mn-Mong-CN"/>
              </w:rPr>
              <w:t>良好</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51EF74D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85</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5F94E0DE">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83-</w:t>
            </w:r>
          </w:p>
          <w:p w14:paraId="672226A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84</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502F2AF8">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82</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0FA583DA">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80-</w:t>
            </w:r>
          </w:p>
          <w:p w14:paraId="122C4827">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81</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6C88820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78-</w:t>
            </w:r>
          </w:p>
          <w:p w14:paraId="4B0B6E7C">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79</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1ABD102F">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76-</w:t>
            </w:r>
          </w:p>
          <w:p w14:paraId="67889F0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77</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3C062ECA">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75</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3434E6CA">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74</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589B961F">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73</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206F1BAE">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72</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6774A943">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71</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199FA525">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70</w:t>
            </w:r>
          </w:p>
        </w:tc>
      </w:tr>
      <w:tr w14:paraId="2D21801F">
        <w:tblPrEx>
          <w:tblCellMar>
            <w:top w:w="0" w:type="dxa"/>
            <w:left w:w="0" w:type="dxa"/>
            <w:bottom w:w="0" w:type="dxa"/>
            <w:right w:w="0" w:type="dxa"/>
          </w:tblCellMar>
        </w:tblPrEx>
        <w:trPr>
          <w:trHeight w:val="539" w:hRule="atLeast"/>
        </w:trPr>
        <w:tc>
          <w:tcPr>
            <w:tcW w:w="601" w:type="dxa"/>
            <w:tcBorders>
              <w:top w:val="nil"/>
              <w:left w:val="single" w:color="auto" w:sz="6" w:space="0"/>
              <w:bottom w:val="double" w:color="auto" w:sz="6" w:space="0"/>
              <w:right w:val="single" w:color="auto" w:sz="6" w:space="0"/>
            </w:tcBorders>
            <w:tcMar>
              <w:top w:w="0" w:type="dxa"/>
              <w:left w:w="105" w:type="dxa"/>
              <w:bottom w:w="0" w:type="dxa"/>
              <w:right w:w="105" w:type="dxa"/>
            </w:tcMar>
            <w:vAlign w:val="center"/>
          </w:tcPr>
          <w:p w14:paraId="75025C1F">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绩点</w:t>
            </w:r>
          </w:p>
        </w:tc>
        <w:tc>
          <w:tcPr>
            <w:tcW w:w="765" w:type="dxa"/>
            <w:tcBorders>
              <w:top w:val="nil"/>
              <w:left w:val="nil"/>
              <w:bottom w:val="double" w:color="auto" w:sz="6" w:space="0"/>
              <w:right w:val="double" w:color="auto" w:sz="6" w:space="0"/>
            </w:tcBorders>
            <w:noWrap/>
            <w:tcMar>
              <w:top w:w="0" w:type="dxa"/>
              <w:left w:w="105" w:type="dxa"/>
              <w:bottom w:w="0" w:type="dxa"/>
              <w:right w:w="105" w:type="dxa"/>
            </w:tcMar>
            <w:vAlign w:val="center"/>
          </w:tcPr>
          <w:p w14:paraId="3081430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3.4</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660F27D8">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3.8</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721D35A9">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3.7</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64FCFFD0">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3.6</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2F24D0C3">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3.5</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726BCB1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3.4</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26EBF1DD">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3.3</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4746BD2C">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3.2</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670D9E8D">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3.1</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32732278">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3</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0B940CDB">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2.9</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56F053EA">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2.8</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4229DD8F">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2.7</w:t>
            </w:r>
          </w:p>
        </w:tc>
      </w:tr>
      <w:tr w14:paraId="6C8E5F07">
        <w:tblPrEx>
          <w:tblCellMar>
            <w:top w:w="0" w:type="dxa"/>
            <w:left w:w="0" w:type="dxa"/>
            <w:bottom w:w="0" w:type="dxa"/>
            <w:right w:w="0" w:type="dxa"/>
          </w:tblCellMar>
        </w:tblPrEx>
        <w:trPr>
          <w:trHeight w:val="539" w:hRule="atLeast"/>
        </w:trPr>
        <w:tc>
          <w:tcPr>
            <w:tcW w:w="60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7143D5CE">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成绩</w:t>
            </w:r>
          </w:p>
        </w:tc>
        <w:tc>
          <w:tcPr>
            <w:tcW w:w="765" w:type="dxa"/>
            <w:tcBorders>
              <w:top w:val="nil"/>
              <w:left w:val="nil"/>
              <w:bottom w:val="single" w:color="auto" w:sz="6" w:space="0"/>
              <w:right w:val="double" w:color="auto" w:sz="6" w:space="0"/>
            </w:tcBorders>
            <w:noWrap/>
            <w:tcMar>
              <w:top w:w="0" w:type="dxa"/>
              <w:left w:w="105" w:type="dxa"/>
              <w:bottom w:w="0" w:type="dxa"/>
              <w:right w:w="105" w:type="dxa"/>
            </w:tcMar>
            <w:vAlign w:val="center"/>
          </w:tcPr>
          <w:p w14:paraId="35791C7A">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color w:val="000000"/>
                <w:kern w:val="0"/>
                <w:sz w:val="18"/>
                <w:szCs w:val="18"/>
                <w:lang w:bidi="mn-Mong-CN"/>
              </w:rPr>
              <w:t>及格</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26FDB7A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69</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27C018EB">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68</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3AC3E055">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67</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46B261E4">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66</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0F262E97">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64-</w:t>
            </w:r>
          </w:p>
          <w:p w14:paraId="7ADC1CEB">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65</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084A99F3">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63</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12C3EB4A">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62</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2E3F1D60">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61</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7943478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60</w:t>
            </w:r>
          </w:p>
        </w:tc>
        <w:tc>
          <w:tcPr>
            <w:tcW w:w="601" w:type="dxa"/>
            <w:tcBorders>
              <w:top w:val="nil"/>
              <w:left w:val="nil"/>
              <w:bottom w:val="single" w:color="auto" w:sz="6" w:space="0"/>
              <w:right w:val="single" w:color="auto" w:sz="6" w:space="0"/>
            </w:tcBorders>
            <w:tcMar>
              <w:top w:w="0" w:type="dxa"/>
              <w:left w:w="105" w:type="dxa"/>
              <w:bottom w:w="0" w:type="dxa"/>
              <w:right w:w="105" w:type="dxa"/>
            </w:tcMar>
            <w:vAlign w:val="center"/>
          </w:tcPr>
          <w:p w14:paraId="21944721">
            <w:pPr>
              <w:widowControl/>
              <w:spacing w:line="240" w:lineRule="atLeast"/>
              <w:jc w:val="center"/>
              <w:rPr>
                <w:rFonts w:hint="eastAsia" w:ascii="宋体" w:hAnsi="宋体" w:eastAsia="仿宋_GB2312" w:cs="宋体"/>
                <w:kern w:val="0"/>
                <w:sz w:val="18"/>
                <w:szCs w:val="18"/>
                <w:lang w:bidi="mn-Mong-CN"/>
              </w:rPr>
            </w:pPr>
            <w:r>
              <w:rPr>
                <w:rFonts w:hint="eastAsia" w:ascii="仿宋_GB2312" w:hAnsi="宋体" w:eastAsia="仿宋_GB2312" w:cs="宋体"/>
                <w:color w:val="000000"/>
                <w:kern w:val="0"/>
                <w:sz w:val="18"/>
                <w:szCs w:val="18"/>
                <w:lang w:bidi="mn-Mong-CN"/>
              </w:rPr>
              <w:t>补考合格</w:t>
            </w: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43F8B5EA">
            <w:pPr>
              <w:widowControl/>
              <w:jc w:val="center"/>
              <w:rPr>
                <w:rFonts w:hint="eastAsia" w:ascii="宋体" w:hAnsi="宋体" w:eastAsia="仿宋_GB2312" w:cs="宋体"/>
                <w:kern w:val="0"/>
                <w:sz w:val="18"/>
                <w:szCs w:val="18"/>
                <w:lang w:bidi="mn-Mong-CN"/>
              </w:rPr>
            </w:pPr>
          </w:p>
        </w:tc>
        <w:tc>
          <w:tcPr>
            <w:tcW w:w="601" w:type="dxa"/>
            <w:tcBorders>
              <w:top w:val="nil"/>
              <w:left w:val="nil"/>
              <w:bottom w:val="single" w:color="auto" w:sz="6" w:space="0"/>
              <w:right w:val="single" w:color="auto" w:sz="6" w:space="0"/>
            </w:tcBorders>
            <w:noWrap/>
            <w:tcMar>
              <w:top w:w="0" w:type="dxa"/>
              <w:left w:w="105" w:type="dxa"/>
              <w:bottom w:w="0" w:type="dxa"/>
              <w:right w:w="105" w:type="dxa"/>
            </w:tcMar>
            <w:vAlign w:val="center"/>
          </w:tcPr>
          <w:p w14:paraId="165BF82A">
            <w:pPr>
              <w:widowControl/>
              <w:jc w:val="center"/>
              <w:rPr>
                <w:rFonts w:hint="eastAsia" w:ascii="宋体" w:hAnsi="宋体" w:eastAsia="仿宋_GB2312" w:cs="宋体"/>
                <w:kern w:val="0"/>
                <w:sz w:val="18"/>
                <w:szCs w:val="18"/>
                <w:lang w:bidi="mn-Mong-CN"/>
              </w:rPr>
            </w:pPr>
          </w:p>
        </w:tc>
      </w:tr>
      <w:tr w14:paraId="1A7E78BC">
        <w:tblPrEx>
          <w:tblCellMar>
            <w:top w:w="0" w:type="dxa"/>
            <w:left w:w="0" w:type="dxa"/>
            <w:bottom w:w="0" w:type="dxa"/>
            <w:right w:w="0" w:type="dxa"/>
          </w:tblCellMar>
        </w:tblPrEx>
        <w:trPr>
          <w:trHeight w:val="539" w:hRule="atLeast"/>
        </w:trPr>
        <w:tc>
          <w:tcPr>
            <w:tcW w:w="601" w:type="dxa"/>
            <w:tcBorders>
              <w:top w:val="nil"/>
              <w:left w:val="single" w:color="auto" w:sz="6" w:space="0"/>
              <w:bottom w:val="double" w:color="auto" w:sz="6" w:space="0"/>
              <w:right w:val="single" w:color="auto" w:sz="6" w:space="0"/>
            </w:tcBorders>
            <w:tcMar>
              <w:top w:w="0" w:type="dxa"/>
              <w:left w:w="105" w:type="dxa"/>
              <w:bottom w:w="0" w:type="dxa"/>
              <w:right w:w="105" w:type="dxa"/>
            </w:tcMar>
            <w:vAlign w:val="center"/>
          </w:tcPr>
          <w:p w14:paraId="68F67DEE">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绩点</w:t>
            </w:r>
          </w:p>
        </w:tc>
        <w:tc>
          <w:tcPr>
            <w:tcW w:w="765" w:type="dxa"/>
            <w:tcBorders>
              <w:top w:val="nil"/>
              <w:left w:val="nil"/>
              <w:bottom w:val="double" w:color="auto" w:sz="6" w:space="0"/>
              <w:right w:val="double" w:color="auto" w:sz="6" w:space="0"/>
            </w:tcBorders>
            <w:noWrap/>
            <w:tcMar>
              <w:top w:w="0" w:type="dxa"/>
              <w:left w:w="105" w:type="dxa"/>
              <w:bottom w:w="0" w:type="dxa"/>
              <w:right w:w="105" w:type="dxa"/>
            </w:tcMar>
            <w:vAlign w:val="center"/>
          </w:tcPr>
          <w:p w14:paraId="1AB070EC">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21C56794">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2.7</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64AC438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2.6</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1B4C5BBB">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2.5</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4A91DE37">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2.4</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5ED57CF6">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2.3</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193ABE3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2.2</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167B0F1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2.1</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0AE1CC32">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1.8</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1B31D3D2">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1.6</w:t>
            </w:r>
          </w:p>
        </w:tc>
        <w:tc>
          <w:tcPr>
            <w:tcW w:w="601" w:type="dxa"/>
            <w:tcBorders>
              <w:top w:val="nil"/>
              <w:left w:val="nil"/>
              <w:bottom w:val="double" w:color="auto" w:sz="6" w:space="0"/>
              <w:right w:val="single" w:color="auto" w:sz="6" w:space="0"/>
            </w:tcBorders>
            <w:tcMar>
              <w:top w:w="0" w:type="dxa"/>
              <w:left w:w="105" w:type="dxa"/>
              <w:bottom w:w="0" w:type="dxa"/>
              <w:right w:w="105" w:type="dxa"/>
            </w:tcMar>
            <w:vAlign w:val="center"/>
          </w:tcPr>
          <w:p w14:paraId="226C61A1">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1</w:t>
            </w: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1C9A5861">
            <w:pPr>
              <w:widowControl/>
              <w:jc w:val="center"/>
              <w:rPr>
                <w:rFonts w:hint="eastAsia" w:ascii="宋体" w:hAnsi="宋体" w:eastAsia="仿宋_GB2312" w:cs="宋体"/>
                <w:kern w:val="0"/>
                <w:sz w:val="18"/>
                <w:szCs w:val="18"/>
                <w:lang w:bidi="mn-Mong-CN"/>
              </w:rPr>
            </w:pPr>
          </w:p>
        </w:tc>
        <w:tc>
          <w:tcPr>
            <w:tcW w:w="601" w:type="dxa"/>
            <w:tcBorders>
              <w:top w:val="nil"/>
              <w:left w:val="nil"/>
              <w:bottom w:val="double" w:color="auto" w:sz="6" w:space="0"/>
              <w:right w:val="single" w:color="auto" w:sz="6" w:space="0"/>
            </w:tcBorders>
            <w:noWrap/>
            <w:tcMar>
              <w:top w:w="0" w:type="dxa"/>
              <w:left w:w="105" w:type="dxa"/>
              <w:bottom w:w="0" w:type="dxa"/>
              <w:right w:w="105" w:type="dxa"/>
            </w:tcMar>
            <w:vAlign w:val="center"/>
          </w:tcPr>
          <w:p w14:paraId="22451436">
            <w:pPr>
              <w:widowControl/>
              <w:jc w:val="center"/>
              <w:rPr>
                <w:rFonts w:hint="eastAsia" w:ascii="宋体" w:hAnsi="宋体" w:eastAsia="仿宋_GB2312" w:cs="宋体"/>
                <w:kern w:val="0"/>
                <w:sz w:val="18"/>
                <w:szCs w:val="18"/>
                <w:lang w:bidi="mn-Mong-CN"/>
              </w:rPr>
            </w:pPr>
          </w:p>
        </w:tc>
      </w:tr>
      <w:tr w14:paraId="3EFEB77B">
        <w:tblPrEx>
          <w:tblCellMar>
            <w:top w:w="0" w:type="dxa"/>
            <w:left w:w="0" w:type="dxa"/>
            <w:bottom w:w="0" w:type="dxa"/>
            <w:right w:w="0" w:type="dxa"/>
          </w:tblCellMar>
        </w:tblPrEx>
        <w:trPr>
          <w:trHeight w:val="539" w:hRule="atLeast"/>
        </w:trPr>
        <w:tc>
          <w:tcPr>
            <w:tcW w:w="601" w:type="dxa"/>
            <w:tcBorders>
              <w:top w:val="nil"/>
              <w:left w:val="single" w:color="auto" w:sz="6" w:space="0"/>
              <w:bottom w:val="single" w:color="auto" w:sz="6" w:space="0"/>
              <w:right w:val="single" w:color="auto" w:sz="6" w:space="0"/>
            </w:tcBorders>
            <w:tcMar>
              <w:top w:w="0" w:type="dxa"/>
              <w:left w:w="105" w:type="dxa"/>
              <w:bottom w:w="0" w:type="dxa"/>
              <w:right w:w="105" w:type="dxa"/>
            </w:tcMar>
            <w:vAlign w:val="center"/>
          </w:tcPr>
          <w:p w14:paraId="294EE03F">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成绩</w:t>
            </w:r>
          </w:p>
        </w:tc>
        <w:tc>
          <w:tcPr>
            <w:tcW w:w="765" w:type="dxa"/>
            <w:tcBorders>
              <w:top w:val="nil"/>
              <w:left w:val="single" w:color="auto" w:sz="6" w:space="0"/>
              <w:bottom w:val="single" w:color="auto" w:sz="6" w:space="0"/>
              <w:right w:val="double" w:color="auto" w:sz="6" w:space="0"/>
            </w:tcBorders>
            <w:noWrap/>
            <w:tcMar>
              <w:top w:w="0" w:type="dxa"/>
              <w:left w:w="105" w:type="dxa"/>
              <w:bottom w:w="0" w:type="dxa"/>
              <w:right w:w="105" w:type="dxa"/>
            </w:tcMar>
            <w:vAlign w:val="center"/>
          </w:tcPr>
          <w:p w14:paraId="76D64BD2">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color w:val="000000"/>
                <w:kern w:val="0"/>
                <w:sz w:val="18"/>
                <w:szCs w:val="18"/>
                <w:lang w:bidi="mn-Mong-CN"/>
              </w:rPr>
              <w:t>不及格</w:t>
            </w:r>
          </w:p>
        </w:tc>
        <w:tc>
          <w:tcPr>
            <w:tcW w:w="601" w:type="dxa"/>
            <w:tcBorders>
              <w:top w:val="nil"/>
              <w:left w:val="double" w:color="auto" w:sz="6" w:space="0"/>
              <w:bottom w:val="single" w:color="auto" w:sz="6" w:space="0"/>
              <w:right w:val="single" w:color="auto" w:sz="6" w:space="0"/>
            </w:tcBorders>
            <w:tcMar>
              <w:top w:w="0" w:type="dxa"/>
              <w:left w:w="105" w:type="dxa"/>
              <w:bottom w:w="0" w:type="dxa"/>
              <w:right w:w="105" w:type="dxa"/>
            </w:tcMar>
            <w:vAlign w:val="center"/>
          </w:tcPr>
          <w:p w14:paraId="4D167186">
            <w:pPr>
              <w:widowControl/>
              <w:spacing w:line="240" w:lineRule="atLeast"/>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59</w:t>
            </w:r>
            <w:r>
              <w:rPr>
                <w:rFonts w:hint="eastAsia" w:ascii="仿宋_GB2312" w:hAnsi="宋体" w:eastAsia="仿宋_GB2312" w:cs="宋体"/>
                <w:color w:val="000000"/>
                <w:kern w:val="0"/>
                <w:sz w:val="18"/>
                <w:szCs w:val="18"/>
                <w:lang w:bidi="mn-Mong-CN"/>
              </w:rPr>
              <w:t>及以下</w:t>
            </w: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6C0555AA">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15B08C84">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67028FEA">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2FD170E9">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75A024A4">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2719F2E4">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595B684A">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1BA4676B">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0160FFBD">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44E9FA71">
            <w:pPr>
              <w:widowControl/>
              <w:jc w:val="center"/>
              <w:rPr>
                <w:rFonts w:hint="eastAsia" w:ascii="宋体" w:hAnsi="宋体" w:eastAsia="仿宋_GB2312" w:cs="宋体"/>
                <w:kern w:val="0"/>
                <w:sz w:val="18"/>
                <w:szCs w:val="18"/>
                <w:lang w:bidi="mn-Mong-CN"/>
              </w:rPr>
            </w:pPr>
          </w:p>
        </w:tc>
        <w:tc>
          <w:tcPr>
            <w:tcW w:w="601" w:type="dxa"/>
            <w:tcBorders>
              <w:top w:val="nil"/>
              <w:left w:val="single" w:color="auto" w:sz="6" w:space="0"/>
              <w:bottom w:val="single" w:color="auto" w:sz="6" w:space="0"/>
              <w:right w:val="single" w:color="auto" w:sz="6" w:space="0"/>
            </w:tcBorders>
            <w:noWrap/>
            <w:tcMar>
              <w:top w:w="0" w:type="dxa"/>
              <w:left w:w="105" w:type="dxa"/>
              <w:bottom w:w="0" w:type="dxa"/>
              <w:right w:w="105" w:type="dxa"/>
            </w:tcMar>
            <w:vAlign w:val="center"/>
          </w:tcPr>
          <w:p w14:paraId="25D2EE41">
            <w:pPr>
              <w:widowControl/>
              <w:jc w:val="center"/>
              <w:rPr>
                <w:rFonts w:hint="eastAsia" w:ascii="宋体" w:hAnsi="宋体" w:eastAsia="仿宋_GB2312" w:cs="宋体"/>
                <w:kern w:val="0"/>
                <w:sz w:val="18"/>
                <w:szCs w:val="18"/>
                <w:lang w:bidi="mn-Mong-CN"/>
              </w:rPr>
            </w:pPr>
          </w:p>
        </w:tc>
      </w:tr>
      <w:tr w14:paraId="445B188B">
        <w:tblPrEx>
          <w:tblCellMar>
            <w:top w:w="0" w:type="dxa"/>
            <w:left w:w="0" w:type="dxa"/>
            <w:bottom w:w="0" w:type="dxa"/>
            <w:right w:w="0" w:type="dxa"/>
          </w:tblCellMar>
        </w:tblPrEx>
        <w:trPr>
          <w:trHeight w:val="539" w:hRule="atLeast"/>
        </w:trPr>
        <w:tc>
          <w:tcPr>
            <w:tcW w:w="601" w:type="dxa"/>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vAlign w:val="center"/>
          </w:tcPr>
          <w:p w14:paraId="5C36E390">
            <w:pPr>
              <w:widowControl/>
              <w:jc w:val="center"/>
              <w:rPr>
                <w:rFonts w:hint="eastAsia" w:ascii="宋体" w:hAnsi="宋体" w:eastAsia="仿宋_GB2312" w:cs="宋体"/>
                <w:kern w:val="0"/>
                <w:sz w:val="18"/>
                <w:szCs w:val="18"/>
                <w:lang w:bidi="mn-Mong-CN"/>
              </w:rPr>
            </w:pPr>
            <w:r>
              <w:rPr>
                <w:rFonts w:hint="eastAsia" w:ascii="仿宋_GB2312" w:hAnsi="宋体" w:eastAsia="仿宋_GB2312" w:cs="宋体"/>
                <w:b/>
                <w:bCs/>
                <w:color w:val="000000"/>
                <w:kern w:val="0"/>
                <w:sz w:val="18"/>
                <w:szCs w:val="18"/>
                <w:lang w:bidi="mn-Mong-CN"/>
              </w:rPr>
              <w:t>绩点</w:t>
            </w:r>
          </w:p>
        </w:tc>
        <w:tc>
          <w:tcPr>
            <w:tcW w:w="765" w:type="dxa"/>
            <w:tcBorders>
              <w:top w:val="single" w:color="auto" w:sz="6" w:space="0"/>
              <w:left w:val="single" w:color="auto" w:sz="6" w:space="0"/>
              <w:bottom w:val="single" w:color="auto" w:sz="6" w:space="0"/>
              <w:right w:val="double" w:color="auto" w:sz="6" w:space="0"/>
            </w:tcBorders>
            <w:noWrap/>
            <w:tcMar>
              <w:top w:w="0" w:type="dxa"/>
              <w:left w:w="105" w:type="dxa"/>
              <w:bottom w:w="0" w:type="dxa"/>
              <w:right w:w="105" w:type="dxa"/>
            </w:tcMar>
            <w:vAlign w:val="center"/>
          </w:tcPr>
          <w:p w14:paraId="5B59315D">
            <w:pPr>
              <w:widowControl/>
              <w:jc w:val="center"/>
              <w:rPr>
                <w:rFonts w:hint="eastAsia" w:ascii="宋体" w:hAnsi="宋体" w:eastAsia="仿宋_GB2312" w:cs="宋体"/>
                <w:kern w:val="0"/>
                <w:sz w:val="18"/>
                <w:szCs w:val="18"/>
                <w:lang w:bidi="mn-Mong-CN"/>
              </w:rPr>
            </w:pPr>
            <w:r>
              <w:rPr>
                <w:rFonts w:hint="eastAsia" w:ascii="Times New Roman" w:hAnsi="Times New Roman" w:eastAsia="仿宋_GB2312"/>
                <w:color w:val="000000"/>
                <w:kern w:val="0"/>
                <w:sz w:val="18"/>
                <w:szCs w:val="18"/>
                <w:lang w:bidi="mn-Mong-CN"/>
              </w:rPr>
              <w:t>0</w:t>
            </w:r>
          </w:p>
        </w:tc>
        <w:tc>
          <w:tcPr>
            <w:tcW w:w="601" w:type="dxa"/>
            <w:tcBorders>
              <w:top w:val="single" w:color="auto" w:sz="6" w:space="0"/>
              <w:left w:val="double" w:color="auto" w:sz="6" w:space="0"/>
              <w:bottom w:val="single" w:color="auto" w:sz="6" w:space="0"/>
              <w:right w:val="single" w:color="auto" w:sz="6" w:space="0"/>
            </w:tcBorders>
            <w:tcMar>
              <w:top w:w="0" w:type="dxa"/>
              <w:left w:w="105" w:type="dxa"/>
              <w:bottom w:w="0" w:type="dxa"/>
              <w:right w:w="105" w:type="dxa"/>
            </w:tcMar>
            <w:vAlign w:val="center"/>
          </w:tcPr>
          <w:p w14:paraId="302B89F9">
            <w:pPr>
              <w:widowControl/>
              <w:spacing w:line="240" w:lineRule="atLeast"/>
              <w:jc w:val="center"/>
              <w:rPr>
                <w:rFonts w:ascii="Times New Roman" w:hAnsi="Times New Roman" w:eastAsia="仿宋_GB2312"/>
                <w:color w:val="000000"/>
                <w:kern w:val="0"/>
                <w:sz w:val="18"/>
                <w:szCs w:val="18"/>
                <w:lang w:bidi="mn-Mong-CN"/>
              </w:rPr>
            </w:pPr>
            <w:r>
              <w:rPr>
                <w:rFonts w:hint="eastAsia" w:ascii="Times New Roman" w:hAnsi="Times New Roman" w:eastAsia="仿宋_GB2312"/>
                <w:color w:val="000000"/>
                <w:kern w:val="0"/>
                <w:sz w:val="18"/>
                <w:szCs w:val="18"/>
                <w:lang w:bidi="mn-Mong-CN"/>
              </w:rPr>
              <w:t>0</w:t>
            </w: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1C335873">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052828A7">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00A3DECD">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245A18AA">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3E89BBEF">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71A5CDD9">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47D9DE71">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0DF7CA1E">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56F37722">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0E78C6DB">
            <w:pPr>
              <w:widowControl/>
              <w:jc w:val="center"/>
              <w:rPr>
                <w:rFonts w:hint="eastAsia" w:ascii="宋体" w:hAnsi="宋体" w:eastAsia="仿宋_GB2312" w:cs="宋体"/>
                <w:kern w:val="0"/>
                <w:sz w:val="18"/>
                <w:szCs w:val="18"/>
                <w:lang w:bidi="mn-Mong-CN"/>
              </w:rPr>
            </w:pPr>
          </w:p>
        </w:tc>
        <w:tc>
          <w:tcPr>
            <w:tcW w:w="601" w:type="dxa"/>
            <w:tcBorders>
              <w:top w:val="single" w:color="auto" w:sz="6" w:space="0"/>
              <w:left w:val="single" w:color="auto" w:sz="6" w:space="0"/>
              <w:bottom w:val="single" w:color="auto" w:sz="6" w:space="0"/>
              <w:right w:val="single" w:color="auto" w:sz="6" w:space="0"/>
            </w:tcBorders>
            <w:noWrap/>
            <w:tcMar>
              <w:top w:w="0" w:type="dxa"/>
              <w:left w:w="105" w:type="dxa"/>
              <w:bottom w:w="0" w:type="dxa"/>
              <w:right w:w="105" w:type="dxa"/>
            </w:tcMar>
            <w:vAlign w:val="center"/>
          </w:tcPr>
          <w:p w14:paraId="495F0A45">
            <w:pPr>
              <w:widowControl/>
              <w:jc w:val="center"/>
              <w:rPr>
                <w:rFonts w:hint="eastAsia" w:ascii="宋体" w:hAnsi="宋体" w:eastAsia="仿宋_GB2312" w:cs="宋体"/>
                <w:kern w:val="0"/>
                <w:sz w:val="18"/>
                <w:szCs w:val="18"/>
                <w:lang w:bidi="mn-Mong-CN"/>
              </w:rPr>
            </w:pPr>
          </w:p>
        </w:tc>
      </w:tr>
    </w:tbl>
    <w:p w14:paraId="4B09470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第十六条</w:t>
      </w:r>
      <w:r>
        <w:rPr>
          <w:rFonts w:hint="eastAsia" w:ascii="Times New Roman" w:hAnsi="Times New Roman" w:eastAsia="仿宋_GB2312" w:cs="仿宋_GB2312"/>
          <w:sz w:val="32"/>
          <w:szCs w:val="32"/>
        </w:rPr>
        <w:t xml:space="preserve">  研究生因特殊原因无法参加课程结课考核的，须在课程考核前申请缓考，经审核通过后生效。缓考成绩按正常成绩记载。申请人须自教务部批准之日起两年内完成缓考，逾期该课程成绩记为0分、不及格或未通过。</w:t>
      </w:r>
    </w:p>
    <w:p w14:paraId="73E3A21D">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第十七条</w:t>
      </w:r>
      <w:r>
        <w:rPr>
          <w:rFonts w:hint="eastAsia" w:ascii="Times New Roman" w:hAnsi="Times New Roman" w:eastAsia="仿宋_GB2312" w:cs="仿宋_GB2312"/>
          <w:sz w:val="32"/>
          <w:szCs w:val="32"/>
        </w:rPr>
        <w:t xml:space="preserve">  无故不参加课程考核的，该课程成绩记0分、不及格或未通过，且不得参加该课程的补考，但可重修一次该课程。 </w:t>
      </w:r>
    </w:p>
    <w:p w14:paraId="5B209B15">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第十八条</w:t>
      </w:r>
      <w:r>
        <w:rPr>
          <w:rFonts w:hint="eastAsia" w:ascii="Times New Roman" w:hAnsi="Times New Roman" w:eastAsia="仿宋_GB2312" w:cs="仿宋_GB2312"/>
          <w:sz w:val="32"/>
          <w:szCs w:val="32"/>
        </w:rPr>
        <w:t xml:space="preserve">  研究生课程考核不合格的，可最多申请一次补考或重修。在修读年限内，学位课不合格门数达到学生管理规定中的限值，按要求必须重修的课程，不予补考；触发退学条款的，按照学生管理规定执行。研究生课程考核合格，但对成绩不满意的，可最多申请一次重修。</w:t>
      </w:r>
    </w:p>
    <w:p w14:paraId="234A9D36">
      <w:pPr>
        <w:ind w:firstLine="643" w:firstLineChars="200"/>
        <w:rPr>
          <w:rFonts w:ascii="Times New Roman" w:hAnsi="Times New Roman" w:eastAsia="仿宋_GB2312" w:cs="仿宋_GB2312"/>
          <w:color w:val="E54C5E" w:themeColor="accent6"/>
          <w:sz w:val="32"/>
          <w:szCs w:val="32"/>
          <w14:textFill>
            <w14:solidFill>
              <w14:schemeClr w14:val="accent6"/>
            </w14:solidFill>
          </w14:textFill>
        </w:rPr>
      </w:pPr>
      <w:r>
        <w:rPr>
          <w:rFonts w:hint="eastAsia" w:ascii="Times New Roman" w:hAnsi="Times New Roman" w:eastAsia="仿宋_GB2312" w:cs="仿宋_GB2312"/>
          <w:b/>
          <w:bCs/>
          <w:sz w:val="32"/>
          <w:szCs w:val="32"/>
        </w:rPr>
        <w:t>第十九条</w:t>
      </w:r>
      <w:r>
        <w:rPr>
          <w:rFonts w:hint="eastAsia" w:ascii="Times New Roman" w:hAnsi="Times New Roman" w:eastAsia="仿宋_GB2312" w:cs="仿宋_GB2312"/>
          <w:sz w:val="32"/>
          <w:szCs w:val="32"/>
        </w:rPr>
        <w:t xml:space="preserve">  补考须经授课教师同意，一般应在下一学期开学后四周内完成。原则上应由原授课教师负责补考命题，考核方式及难易程度与原课程一致。研究生课程补考合格后，成绩按“60分”、“及格”或“通过”记载；补考仍不合格者，按补考成绩记载，并不可重修。</w:t>
      </w:r>
    </w:p>
    <w:p w14:paraId="6C1D395C">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第二十条</w:t>
      </w:r>
      <w:r>
        <w:rPr>
          <w:rFonts w:hint="eastAsia" w:ascii="Times New Roman" w:hAnsi="Times New Roman" w:eastAsia="仿宋_GB2312" w:cs="仿宋_GB2312"/>
          <w:sz w:val="32"/>
          <w:szCs w:val="32"/>
        </w:rPr>
        <w:t xml:space="preserve">  重修须在选课系统中提交申请并缴费。收费标准为500元/学分，不包括购买讲义、教材和参加实验、上机等费用。国科大学籍研究生按上述标准的50%收费。课程最终成绩按重修成绩记载，重修不合格者不予补考</w:t>
      </w:r>
      <w:r>
        <w:rPr>
          <w:rFonts w:hint="eastAsia"/>
        </w:rPr>
        <w:t>。</w:t>
      </w:r>
    </w:p>
    <w:p w14:paraId="451376CF">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第二十一条</w:t>
      </w:r>
      <w:r>
        <w:rPr>
          <w:rFonts w:hint="eastAsia" w:ascii="Times New Roman" w:hAnsi="Times New Roman" w:eastAsia="仿宋_GB2312" w:cs="仿宋_GB2312"/>
          <w:sz w:val="32"/>
          <w:szCs w:val="32"/>
        </w:rPr>
        <w:t xml:space="preserve">  因课程成绩不合格，经重修或补考后取得的成绩，在成绩单中予以标注。</w:t>
      </w:r>
    </w:p>
    <w:p w14:paraId="7A9ACC09">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第二十二条</w:t>
      </w:r>
      <w:r>
        <w:rPr>
          <w:rFonts w:hint="eastAsia" w:ascii="Times New Roman" w:hAnsi="Times New Roman" w:eastAsia="仿宋_GB2312" w:cs="仿宋_GB2312"/>
          <w:sz w:val="32"/>
          <w:szCs w:val="32"/>
        </w:rPr>
        <w:t xml:space="preserve">  研究生应在规定时间内参加所修读课程的教学评估。研究生参加评估后，方可在选课系统查询相应课程的考核成绩；未参加评估的，在当前学年只可查询不合格成绩。</w:t>
      </w:r>
    </w:p>
    <w:p w14:paraId="68B6727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第二十三条</w:t>
      </w:r>
      <w:r>
        <w:rPr>
          <w:rFonts w:hint="eastAsia" w:ascii="Times New Roman" w:hAnsi="Times New Roman" w:eastAsia="仿宋_GB2312" w:cs="仿宋_GB2312"/>
          <w:sz w:val="32"/>
          <w:szCs w:val="32"/>
        </w:rPr>
        <w:t xml:space="preserve">  研究生如对所修课程的成绩有异议，可在成绩公布后十个工作日内向开课院系申请复查，同一门课程只可复查一次。由开课院系联系授课教师对异议事项进行调查后，给出明确答复。</w:t>
      </w:r>
    </w:p>
    <w:p w14:paraId="7F773585">
      <w:pPr>
        <w:jc w:val="center"/>
        <w:rPr>
          <w:rFonts w:ascii="Times New Roman" w:hAnsi="Times New Roman" w:eastAsia="仿宋_GB2312" w:cs="仿宋_GB2312"/>
          <w:sz w:val="32"/>
          <w:szCs w:val="32"/>
        </w:rPr>
      </w:pPr>
      <w:r>
        <w:rPr>
          <w:rFonts w:hint="eastAsia" w:ascii="黑体" w:hAnsi="黑体" w:eastAsia="黑体" w:cs="黑体"/>
          <w:sz w:val="32"/>
          <w:szCs w:val="32"/>
        </w:rPr>
        <w:t>第四章 成绩认定</w:t>
      </w:r>
    </w:p>
    <w:p w14:paraId="40A8350E">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第二十四条</w:t>
      </w:r>
      <w:r>
        <w:rPr>
          <w:rFonts w:hint="eastAsia" w:ascii="Times New Roman" w:hAnsi="Times New Roman" w:eastAsia="仿宋_GB2312" w:cs="仿宋_GB2312"/>
          <w:sz w:val="32"/>
          <w:szCs w:val="32"/>
        </w:rPr>
        <w:t xml:space="preserve">  本科阶段及研究生阶段均为国科大正式学籍的学生，其本科阶段修读的本研层次课程及研究生课程，在研究生入学年度的秋季学期，如同时满足以下认定条件，可统一认定为研究生阶段课程学分：</w:t>
      </w:r>
    </w:p>
    <w:p w14:paraId="55412E60">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1.相关课程学分未用作本科毕业学分；</w:t>
      </w:r>
    </w:p>
    <w:p w14:paraId="3A83D843">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2.相关课程须符合研究生所在专业培养方案要求；</w:t>
      </w:r>
    </w:p>
    <w:p w14:paraId="73BF9A22">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3.认定时限为本科毕业年度至研究生入学年度间隔</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rPr>
        <w:t>年内（含</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rPr>
        <w:t>年</w:t>
      </w:r>
      <w:bookmarkStart w:id="0" w:name="_GoBack"/>
      <w:bookmarkEnd w:id="0"/>
      <w:r>
        <w:rPr>
          <w:rFonts w:hint="eastAsia" w:ascii="Times New Roman" w:hAnsi="Times New Roman" w:eastAsia="仿宋_GB2312" w:cs="仿宋_GB2312"/>
          <w:sz w:val="32"/>
          <w:szCs w:val="32"/>
        </w:rPr>
        <w:t>），超过时限不予认定。</w:t>
      </w:r>
    </w:p>
    <w:p w14:paraId="3556AAA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第二十五条</w:t>
      </w:r>
      <w:r>
        <w:rPr>
          <w:rFonts w:hint="eastAsia" w:ascii="Times New Roman" w:hAnsi="Times New Roman" w:eastAsia="仿宋_GB2312" w:cs="仿宋_GB2312"/>
          <w:sz w:val="32"/>
          <w:szCs w:val="32"/>
        </w:rPr>
        <w:t xml:space="preserve">  硕士阶段及普博阶段均为国科大正式学籍的学生，其硕士阶段修读的硕博通用课程及博士课程，在普博生入学年度的秋季学期，如同时满足以下认定条件，可申请认定为普博阶段课程学分：</w:t>
      </w:r>
    </w:p>
    <w:p w14:paraId="092D4F81">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1.相关课程学分未用作硕士毕业学分；</w:t>
      </w:r>
    </w:p>
    <w:p w14:paraId="2AF3D7C1">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2.相关课程须符合普博生所在专业培养方案要求；</w:t>
      </w:r>
    </w:p>
    <w:p w14:paraId="10E398DC">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3.认定时限为硕士毕业年度至普博入学年度间隔三年内（含三年），超过时限不予认定。</w:t>
      </w:r>
    </w:p>
    <w:p w14:paraId="5EFD82DD">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第二十六条</w:t>
      </w:r>
      <w:r>
        <w:rPr>
          <w:rFonts w:hint="eastAsia" w:ascii="Times New Roman" w:hAnsi="Times New Roman" w:eastAsia="仿宋_GB2312" w:cs="仿宋_GB2312"/>
          <w:sz w:val="32"/>
          <w:szCs w:val="32"/>
        </w:rPr>
        <w:t xml:space="preserve">  国科大正式学籍的学生因结业、退学等情况终止学业的，其在校学习期间所修课程及已获得学分，予以记录。如重新参加入学考试、符合录取条件，再次进入国科大学习的，其已获得学分，在研究生入学年度的秋季学期，如同时满足以下认定条件，可申请认定为研究生阶段课程学分：</w:t>
      </w:r>
    </w:p>
    <w:p w14:paraId="201E939F">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1.相关课程须符合研究生所在专业培养方案要求；</w:t>
      </w:r>
    </w:p>
    <w:p w14:paraId="4C2988D9">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2.认定时限为结业或退学年度至研究生入学年度间隔三年内（含三年），超过时限不予认定。</w:t>
      </w:r>
    </w:p>
    <w:p w14:paraId="4FF3CA0C">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第二十七条</w:t>
      </w:r>
      <w:r>
        <w:rPr>
          <w:rFonts w:hint="eastAsia" w:ascii="Times New Roman" w:hAnsi="Times New Roman" w:eastAsia="仿宋_GB2312" w:cs="仿宋_GB2312"/>
          <w:sz w:val="32"/>
          <w:szCs w:val="32"/>
        </w:rPr>
        <w:t xml:space="preserve">  研究生学位英语课程学习、考核及成绩认定按照外语系相关规定执行。</w:t>
      </w:r>
    </w:p>
    <w:p w14:paraId="6CD1E00F">
      <w:pPr>
        <w:jc w:val="center"/>
        <w:rPr>
          <w:rFonts w:hint="eastAsia" w:ascii="黑体" w:hAnsi="黑体" w:eastAsia="黑体" w:cs="黑体"/>
          <w:sz w:val="32"/>
          <w:szCs w:val="32"/>
        </w:rPr>
      </w:pPr>
      <w:r>
        <w:rPr>
          <w:rFonts w:hint="eastAsia" w:ascii="黑体" w:hAnsi="黑体" w:eastAsia="黑体" w:cs="黑体"/>
          <w:sz w:val="32"/>
          <w:szCs w:val="32"/>
        </w:rPr>
        <w:t>第五章 旁听人员管理</w:t>
      </w:r>
    </w:p>
    <w:p w14:paraId="1B6DD0E0">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第二十八条</w:t>
      </w:r>
      <w:r>
        <w:rPr>
          <w:rFonts w:hint="eastAsia" w:ascii="Times New Roman" w:hAnsi="Times New Roman" w:eastAsia="仿宋_GB2312" w:cs="仿宋_GB2312"/>
          <w:sz w:val="32"/>
          <w:szCs w:val="32"/>
        </w:rPr>
        <w:t xml:space="preserve">  学校在教学资源允许的情况下，开放研究生课程旁听。旁听人员（以下简称“旁听生”）应热爱祖国、遵纪守法、身心健康，一般应为来自高等院校及科研机构具有学士及以上学位的在职人员、非国科大学籍的在学研究生或高年级本科生。</w:t>
      </w:r>
    </w:p>
    <w:p w14:paraId="718BB857">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第二十九条</w:t>
      </w:r>
      <w:r>
        <w:rPr>
          <w:rFonts w:hint="eastAsia" w:ascii="Times New Roman" w:hAnsi="Times New Roman" w:eastAsia="仿宋_GB2312" w:cs="仿宋_GB2312"/>
          <w:sz w:val="32"/>
          <w:szCs w:val="32"/>
        </w:rPr>
        <w:t xml:space="preserve">  教务部于每学期教学周的第二周为旁听生集中办理旁听手续，旁听生须提前申请，过时不予办理。</w:t>
      </w:r>
    </w:p>
    <w:p w14:paraId="6E412EF1">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第三十条</w:t>
      </w:r>
      <w:r>
        <w:rPr>
          <w:rFonts w:hint="eastAsia" w:ascii="Times New Roman" w:hAnsi="Times New Roman" w:eastAsia="仿宋_GB2312" w:cs="仿宋_GB2312"/>
          <w:sz w:val="32"/>
          <w:szCs w:val="32"/>
        </w:rPr>
        <w:t xml:space="preserve">  旁听生通过教务部网站提交旁听申请，按要求提供所在单位介绍信、本人有效证件等材料。通过审核后，到教务部签订承诺书，办理缴费、选课、领取旁听证等手续。</w:t>
      </w:r>
    </w:p>
    <w:p w14:paraId="5CEA42B4">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第三十一条</w:t>
      </w:r>
      <w:r>
        <w:rPr>
          <w:rFonts w:hint="eastAsia" w:ascii="Times New Roman" w:hAnsi="Times New Roman" w:eastAsia="仿宋_GB2312" w:cs="仿宋_GB2312"/>
          <w:sz w:val="32"/>
          <w:szCs w:val="32"/>
        </w:rPr>
        <w:t xml:space="preserve">  旁听研究生课程的收费标准为500元/学分，不包括购买讲义、教材和参加实验、上机等费用。中国科学院所属单位的旁听人员按上述标准的50%收费。</w:t>
      </w:r>
    </w:p>
    <w:p w14:paraId="4E65E10F">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第三十二条</w:t>
      </w:r>
      <w:r>
        <w:rPr>
          <w:rFonts w:hint="eastAsia" w:ascii="Times New Roman" w:hAnsi="Times New Roman" w:eastAsia="仿宋_GB2312" w:cs="仿宋_GB2312"/>
          <w:sz w:val="32"/>
          <w:szCs w:val="32"/>
        </w:rPr>
        <w:t xml:space="preserve">  旁听生凭教务部开具的缴费凭据到财务部门缴纳选课费用。如退课，已缴费用不予退还。</w:t>
      </w:r>
    </w:p>
    <w:p w14:paraId="1C7E407D">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第三十三条</w:t>
      </w:r>
      <w:r>
        <w:rPr>
          <w:rFonts w:hint="eastAsia" w:ascii="Times New Roman" w:hAnsi="Times New Roman" w:eastAsia="仿宋_GB2312" w:cs="仿宋_GB2312"/>
          <w:sz w:val="32"/>
          <w:szCs w:val="32"/>
        </w:rPr>
        <w:t xml:space="preserve">  旁听证是旁听生进出学校、听课、参加课程考试、办理成绩证明的凭证，有效期为一学期。旁听生在学校旁听课程期间，教务部可协助其办理临时校园卡，仅用于在校园餐厅就餐。学校不提供住宿，不办理图书资料借阅等。</w:t>
      </w:r>
    </w:p>
    <w:p w14:paraId="5BABF211">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第三十四条</w:t>
      </w:r>
      <w:r>
        <w:rPr>
          <w:rFonts w:hint="eastAsia" w:ascii="Times New Roman" w:hAnsi="Times New Roman" w:eastAsia="仿宋_GB2312" w:cs="仿宋_GB2312"/>
          <w:sz w:val="32"/>
          <w:szCs w:val="32"/>
        </w:rPr>
        <w:t xml:space="preserve">  旁听课程的选课、学习、考核等事项参照本规定第二章、第三章相关条款执行。</w:t>
      </w:r>
    </w:p>
    <w:p w14:paraId="10BB902C">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第三十五条</w:t>
      </w:r>
      <w:r>
        <w:rPr>
          <w:rFonts w:hint="eastAsia" w:ascii="Times New Roman" w:hAnsi="Times New Roman" w:eastAsia="仿宋_GB2312" w:cs="仿宋_GB2312"/>
          <w:sz w:val="32"/>
          <w:szCs w:val="32"/>
        </w:rPr>
        <w:t xml:space="preserve">  旁听生凭旁听证到教务部领取成绩证明。除成绩证明外，学校不提供其他证明。旁听生如后续成为国科大正式学籍的研究生，其旁听期间修读的课程，在研究生入学年度的秋季学期，如同时满足以下认定条件，可申请认定为研究生阶段课程学分：</w:t>
      </w:r>
    </w:p>
    <w:p w14:paraId="386EAD33">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1.相关课程学分未用作毕业学分，须由原就读单位开具正式证明；</w:t>
      </w:r>
    </w:p>
    <w:p w14:paraId="61F9E87C">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2.相关课程须符合入学后所在专业培养方案要求；</w:t>
      </w:r>
    </w:p>
    <w:p w14:paraId="1FE9234C">
      <w:pPr>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3.认定时限为旁听年度至研究生入学年度间隔三年内（含三年），超过时限不予认定。</w:t>
      </w:r>
    </w:p>
    <w:p w14:paraId="5571F7BC">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第三十六条</w:t>
      </w:r>
      <w:r>
        <w:rPr>
          <w:rFonts w:hint="eastAsia" w:ascii="Times New Roman" w:hAnsi="Times New Roman" w:eastAsia="仿宋_GB2312" w:cs="仿宋_GB2312"/>
          <w:sz w:val="32"/>
          <w:szCs w:val="32"/>
        </w:rPr>
        <w:t xml:space="preserve">  旁听生须遵守学校的各项规章制度，如有违反国家法律法规或学校规章制度的行为，学校将通报旁听生所在单位，情节严重者，取消其旁听资格。旁听生个人安全问题由本人负责。</w:t>
      </w:r>
    </w:p>
    <w:p w14:paraId="338EFEBA">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第三十七条</w:t>
      </w:r>
      <w:r>
        <w:rPr>
          <w:rFonts w:hint="eastAsia" w:ascii="Times New Roman" w:hAnsi="Times New Roman" w:eastAsia="仿宋_GB2312" w:cs="仿宋_GB2312"/>
          <w:sz w:val="32"/>
          <w:szCs w:val="32"/>
        </w:rPr>
        <w:t xml:space="preserve">  各学院（系）或个人不得自行接收旁听生，一经查出将对相关人员进行严肃处理。</w:t>
      </w:r>
    </w:p>
    <w:p w14:paraId="7EFD0043">
      <w:pPr>
        <w:jc w:val="center"/>
        <w:rPr>
          <w:rFonts w:ascii="Times New Roman" w:hAnsi="Times New Roman" w:eastAsia="仿宋_GB2312" w:cs="仿宋_GB2312"/>
          <w:sz w:val="32"/>
          <w:szCs w:val="32"/>
        </w:rPr>
      </w:pPr>
      <w:r>
        <w:rPr>
          <w:rFonts w:hint="eastAsia" w:ascii="黑体" w:hAnsi="黑体" w:eastAsia="黑体" w:cs="黑体"/>
          <w:sz w:val="32"/>
          <w:szCs w:val="32"/>
        </w:rPr>
        <w:t>第六章 附则</w:t>
      </w:r>
    </w:p>
    <w:p w14:paraId="0458CA06">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第三十八条</w:t>
      </w:r>
      <w:r>
        <w:rPr>
          <w:rFonts w:hint="eastAsia" w:ascii="Times New Roman" w:hAnsi="Times New Roman" w:eastAsia="仿宋_GB2312" w:cs="仿宋_GB2312"/>
          <w:sz w:val="32"/>
          <w:szCs w:val="32"/>
        </w:rPr>
        <w:t xml:space="preserve">  严禁扰乱选课、恶意抢课囤课、买卖课程、冒名上课、寻找他人代替上课、擅自录课、私自传播教学资料等干扰学校正常教育教学秩序、侵犯师生权益、影响信息安全、损害学校声誉的行为，一经查实，将按相关规定严肃处理。</w:t>
      </w:r>
    </w:p>
    <w:p w14:paraId="67E6B7D3">
      <w:pPr>
        <w:ind w:firstLine="643" w:firstLineChars="200"/>
        <w:rPr>
          <w:rFonts w:ascii="Times New Roman" w:hAnsi="Times New Roman" w:eastAsia="仿宋_GB2312" w:cs="仿宋_GB2312"/>
          <w:sz w:val="32"/>
          <w:szCs w:val="32"/>
        </w:rPr>
      </w:pPr>
      <w:r>
        <w:rPr>
          <w:rFonts w:hint="eastAsia" w:ascii="Times New Roman" w:hAnsi="Times New Roman" w:eastAsia="仿宋_GB2312" w:cs="仿宋_GB2312"/>
          <w:b/>
          <w:bCs/>
          <w:sz w:val="32"/>
          <w:szCs w:val="32"/>
        </w:rPr>
        <w:t>第三十九条</w:t>
      </w:r>
      <w:r>
        <w:rPr>
          <w:rFonts w:hint="eastAsia" w:ascii="Times New Roman" w:hAnsi="Times New Roman" w:eastAsia="仿宋_GB2312" w:cs="仿宋_GB2312"/>
          <w:sz w:val="32"/>
          <w:szCs w:val="32"/>
        </w:rPr>
        <w:t xml:space="preserve">  本规定自印发之日起实施，由教务部负责解释。原《中国科学院大学研究生课程学习管理规定》（校发教字〔2020〕64号）《中国科学院大学研究生课程旁听人员管理办法》（校发教字〔2022〕100号）同时废止。</w:t>
      </w:r>
    </w:p>
    <w:p w14:paraId="18B502D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6693DB-E638-49AF-A9B7-76394793B3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6444024E-17FB-4EB2-8DC0-65A88C3BC0DA}"/>
  </w:font>
  <w:font w:name="仿宋_GB2312">
    <w:panose1 w:val="02010609030101010101"/>
    <w:charset w:val="86"/>
    <w:family w:val="modern"/>
    <w:pitch w:val="default"/>
    <w:sig w:usb0="00000001" w:usb1="080E0000" w:usb2="00000000" w:usb3="00000000" w:csb0="00040000" w:csb1="00000000"/>
    <w:embedRegular r:id="rId3" w:fontKey="{EFE3665E-8F51-4A01-811A-9D6199FABE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dit="trackedChange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113F8"/>
    <w:rsid w:val="00027F3D"/>
    <w:rsid w:val="000E0418"/>
    <w:rsid w:val="001051C7"/>
    <w:rsid w:val="001563A7"/>
    <w:rsid w:val="001C1C79"/>
    <w:rsid w:val="001E4038"/>
    <w:rsid w:val="003A18D9"/>
    <w:rsid w:val="004763C1"/>
    <w:rsid w:val="00515469"/>
    <w:rsid w:val="005C360A"/>
    <w:rsid w:val="00635C77"/>
    <w:rsid w:val="00636984"/>
    <w:rsid w:val="006C2636"/>
    <w:rsid w:val="0070066C"/>
    <w:rsid w:val="007539E1"/>
    <w:rsid w:val="00792E82"/>
    <w:rsid w:val="008117C4"/>
    <w:rsid w:val="00881132"/>
    <w:rsid w:val="008838A4"/>
    <w:rsid w:val="008A4A97"/>
    <w:rsid w:val="008F3497"/>
    <w:rsid w:val="00916363"/>
    <w:rsid w:val="00952986"/>
    <w:rsid w:val="009A582A"/>
    <w:rsid w:val="009D618B"/>
    <w:rsid w:val="00A71BC5"/>
    <w:rsid w:val="00D11F71"/>
    <w:rsid w:val="00D44620"/>
    <w:rsid w:val="00D70FB3"/>
    <w:rsid w:val="00F9543C"/>
    <w:rsid w:val="00FB224D"/>
    <w:rsid w:val="012E5FDA"/>
    <w:rsid w:val="01990CED"/>
    <w:rsid w:val="03B5742C"/>
    <w:rsid w:val="08A52FEB"/>
    <w:rsid w:val="09391199"/>
    <w:rsid w:val="09C859A9"/>
    <w:rsid w:val="0C2063CD"/>
    <w:rsid w:val="0C64723D"/>
    <w:rsid w:val="0CB4627B"/>
    <w:rsid w:val="0D6C7CF4"/>
    <w:rsid w:val="0DB90694"/>
    <w:rsid w:val="0E135BF1"/>
    <w:rsid w:val="0E50770D"/>
    <w:rsid w:val="0E7D49FA"/>
    <w:rsid w:val="0EDF68EB"/>
    <w:rsid w:val="0F4E533B"/>
    <w:rsid w:val="0FB07178"/>
    <w:rsid w:val="10480E2B"/>
    <w:rsid w:val="107A6B6F"/>
    <w:rsid w:val="10A32AB7"/>
    <w:rsid w:val="10A40AA3"/>
    <w:rsid w:val="125C1149"/>
    <w:rsid w:val="1296520C"/>
    <w:rsid w:val="13923054"/>
    <w:rsid w:val="144078C3"/>
    <w:rsid w:val="15301586"/>
    <w:rsid w:val="18B30892"/>
    <w:rsid w:val="18CE37E1"/>
    <w:rsid w:val="19564087"/>
    <w:rsid w:val="19D4458C"/>
    <w:rsid w:val="1A312930"/>
    <w:rsid w:val="1A5A1E87"/>
    <w:rsid w:val="1ABF751E"/>
    <w:rsid w:val="1B2E66E4"/>
    <w:rsid w:val="1B7F4E83"/>
    <w:rsid w:val="1BEF4851"/>
    <w:rsid w:val="1BF925E9"/>
    <w:rsid w:val="1CD26A98"/>
    <w:rsid w:val="1D047E88"/>
    <w:rsid w:val="1D216723"/>
    <w:rsid w:val="1DC07CF2"/>
    <w:rsid w:val="1E0122A1"/>
    <w:rsid w:val="1F5B52F0"/>
    <w:rsid w:val="20152D73"/>
    <w:rsid w:val="20230904"/>
    <w:rsid w:val="20317DCC"/>
    <w:rsid w:val="209461DC"/>
    <w:rsid w:val="21F26E49"/>
    <w:rsid w:val="226E3DA0"/>
    <w:rsid w:val="228C0D48"/>
    <w:rsid w:val="22B87F61"/>
    <w:rsid w:val="23B75836"/>
    <w:rsid w:val="23C31A94"/>
    <w:rsid w:val="25526C11"/>
    <w:rsid w:val="25AB7A3A"/>
    <w:rsid w:val="25C96113"/>
    <w:rsid w:val="26F23447"/>
    <w:rsid w:val="27434BAE"/>
    <w:rsid w:val="27F33E34"/>
    <w:rsid w:val="285E016C"/>
    <w:rsid w:val="288E17BF"/>
    <w:rsid w:val="29757C17"/>
    <w:rsid w:val="2A433BA0"/>
    <w:rsid w:val="2AB7478C"/>
    <w:rsid w:val="2BD47AC8"/>
    <w:rsid w:val="2BEC52E1"/>
    <w:rsid w:val="2F7B3392"/>
    <w:rsid w:val="303C356D"/>
    <w:rsid w:val="30515BDF"/>
    <w:rsid w:val="30F12DA1"/>
    <w:rsid w:val="31243259"/>
    <w:rsid w:val="316D4F4A"/>
    <w:rsid w:val="31717D8A"/>
    <w:rsid w:val="32C06253"/>
    <w:rsid w:val="352A4448"/>
    <w:rsid w:val="353F5AA9"/>
    <w:rsid w:val="372F49AE"/>
    <w:rsid w:val="37747A0A"/>
    <w:rsid w:val="37E43AFE"/>
    <w:rsid w:val="38204D30"/>
    <w:rsid w:val="386A72E1"/>
    <w:rsid w:val="39335925"/>
    <w:rsid w:val="395038D8"/>
    <w:rsid w:val="39652541"/>
    <w:rsid w:val="3A002397"/>
    <w:rsid w:val="3AE50EA1"/>
    <w:rsid w:val="3C5C6BA4"/>
    <w:rsid w:val="3DF24AD0"/>
    <w:rsid w:val="3E9349DA"/>
    <w:rsid w:val="3E974FE5"/>
    <w:rsid w:val="3F850EA5"/>
    <w:rsid w:val="3FBD419A"/>
    <w:rsid w:val="40192963"/>
    <w:rsid w:val="404B5BD5"/>
    <w:rsid w:val="40640ABA"/>
    <w:rsid w:val="42DE4B54"/>
    <w:rsid w:val="430D07A9"/>
    <w:rsid w:val="43A3297F"/>
    <w:rsid w:val="44C24001"/>
    <w:rsid w:val="45617CBE"/>
    <w:rsid w:val="459A1544"/>
    <w:rsid w:val="459D5443"/>
    <w:rsid w:val="45AE297F"/>
    <w:rsid w:val="46411F54"/>
    <w:rsid w:val="46FB5FC1"/>
    <w:rsid w:val="47391F59"/>
    <w:rsid w:val="47913AC0"/>
    <w:rsid w:val="484A0589"/>
    <w:rsid w:val="485D60F8"/>
    <w:rsid w:val="48961A2D"/>
    <w:rsid w:val="48FD101A"/>
    <w:rsid w:val="48FE266D"/>
    <w:rsid w:val="495518E8"/>
    <w:rsid w:val="4961203A"/>
    <w:rsid w:val="497A2EA7"/>
    <w:rsid w:val="49E32640"/>
    <w:rsid w:val="4BCC1216"/>
    <w:rsid w:val="4C910B60"/>
    <w:rsid w:val="4CCE7471"/>
    <w:rsid w:val="4D2019CE"/>
    <w:rsid w:val="4DE262E3"/>
    <w:rsid w:val="4E3A178C"/>
    <w:rsid w:val="4EFB2ED9"/>
    <w:rsid w:val="4F3955E3"/>
    <w:rsid w:val="4F817E6C"/>
    <w:rsid w:val="4FCF212F"/>
    <w:rsid w:val="4FEF0773"/>
    <w:rsid w:val="5012178C"/>
    <w:rsid w:val="50CF5C62"/>
    <w:rsid w:val="51C3204D"/>
    <w:rsid w:val="522F381D"/>
    <w:rsid w:val="54673277"/>
    <w:rsid w:val="56696CBC"/>
    <w:rsid w:val="572113F8"/>
    <w:rsid w:val="57BC34FD"/>
    <w:rsid w:val="585638D8"/>
    <w:rsid w:val="58C60389"/>
    <w:rsid w:val="590342C4"/>
    <w:rsid w:val="59170406"/>
    <w:rsid w:val="59700B18"/>
    <w:rsid w:val="59E36A9C"/>
    <w:rsid w:val="5ABC17C7"/>
    <w:rsid w:val="5B6C4914"/>
    <w:rsid w:val="5C4750C0"/>
    <w:rsid w:val="5C9B540C"/>
    <w:rsid w:val="5CA93FCD"/>
    <w:rsid w:val="5D105DFA"/>
    <w:rsid w:val="5EE353E8"/>
    <w:rsid w:val="5F1C2834"/>
    <w:rsid w:val="5FDD5D90"/>
    <w:rsid w:val="60AE1BB1"/>
    <w:rsid w:val="60B90BF4"/>
    <w:rsid w:val="60C13179"/>
    <w:rsid w:val="61502C5D"/>
    <w:rsid w:val="618F4878"/>
    <w:rsid w:val="664A4607"/>
    <w:rsid w:val="670D6F06"/>
    <w:rsid w:val="67426E0C"/>
    <w:rsid w:val="67D33A90"/>
    <w:rsid w:val="686E6928"/>
    <w:rsid w:val="68937E38"/>
    <w:rsid w:val="68BD30E3"/>
    <w:rsid w:val="68ED6FEF"/>
    <w:rsid w:val="69843BFF"/>
    <w:rsid w:val="6A623431"/>
    <w:rsid w:val="6ABE32F7"/>
    <w:rsid w:val="6D2B599F"/>
    <w:rsid w:val="6D4377BD"/>
    <w:rsid w:val="6E136ED7"/>
    <w:rsid w:val="6E47272F"/>
    <w:rsid w:val="6F2C21A6"/>
    <w:rsid w:val="717740C3"/>
    <w:rsid w:val="718E0FA7"/>
    <w:rsid w:val="719B0A84"/>
    <w:rsid w:val="719F654E"/>
    <w:rsid w:val="72BA6194"/>
    <w:rsid w:val="72BD7AB7"/>
    <w:rsid w:val="72E247C9"/>
    <w:rsid w:val="74F8154A"/>
    <w:rsid w:val="74F81C1C"/>
    <w:rsid w:val="75482501"/>
    <w:rsid w:val="75F37CB7"/>
    <w:rsid w:val="770B3462"/>
    <w:rsid w:val="77416599"/>
    <w:rsid w:val="777728A5"/>
    <w:rsid w:val="77F31AF0"/>
    <w:rsid w:val="79C351B6"/>
    <w:rsid w:val="79E3484E"/>
    <w:rsid w:val="7A1A763C"/>
    <w:rsid w:val="7BE35CBC"/>
    <w:rsid w:val="7C046174"/>
    <w:rsid w:val="7C932167"/>
    <w:rsid w:val="7D5A26AB"/>
    <w:rsid w:val="7DA96B32"/>
    <w:rsid w:val="7F417D56"/>
    <w:rsid w:val="7F737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4"/>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7">
    <w:name w:val="annotation subject"/>
    <w:basedOn w:val="2"/>
    <w:next w:val="2"/>
    <w:link w:val="16"/>
    <w:qFormat/>
    <w:uiPriority w:val="0"/>
    <w:rPr>
      <w:b/>
      <w:bCs/>
    </w:rPr>
  </w:style>
  <w:style w:type="character" w:styleId="10">
    <w:name w:val="Strong"/>
    <w:basedOn w:val="9"/>
    <w:qFormat/>
    <w:uiPriority w:val="0"/>
    <w:rPr>
      <w:b/>
    </w:rPr>
  </w:style>
  <w:style w:type="character" w:styleId="11">
    <w:name w:val="annotation reference"/>
    <w:basedOn w:val="9"/>
    <w:qFormat/>
    <w:uiPriority w:val="0"/>
    <w:rPr>
      <w:sz w:val="21"/>
      <w:szCs w:val="21"/>
    </w:rPr>
  </w:style>
  <w:style w:type="character" w:customStyle="1" w:styleId="12">
    <w:name w:val="页眉 字符"/>
    <w:basedOn w:val="9"/>
    <w:link w:val="5"/>
    <w:qFormat/>
    <w:uiPriority w:val="0"/>
    <w:rPr>
      <w:kern w:val="2"/>
      <w:sz w:val="18"/>
      <w:szCs w:val="18"/>
    </w:rPr>
  </w:style>
  <w:style w:type="character" w:customStyle="1" w:styleId="13">
    <w:name w:val="页脚 字符"/>
    <w:basedOn w:val="9"/>
    <w:link w:val="4"/>
    <w:qFormat/>
    <w:uiPriority w:val="0"/>
    <w:rPr>
      <w:kern w:val="2"/>
      <w:sz w:val="18"/>
      <w:szCs w:val="18"/>
    </w:rPr>
  </w:style>
  <w:style w:type="character" w:customStyle="1" w:styleId="14">
    <w:name w:val="批注框文本 字符"/>
    <w:basedOn w:val="9"/>
    <w:link w:val="3"/>
    <w:qFormat/>
    <w:uiPriority w:val="0"/>
    <w:rPr>
      <w:kern w:val="2"/>
      <w:sz w:val="18"/>
      <w:szCs w:val="18"/>
    </w:rPr>
  </w:style>
  <w:style w:type="character" w:customStyle="1" w:styleId="15">
    <w:name w:val="批注文字 字符"/>
    <w:basedOn w:val="9"/>
    <w:link w:val="2"/>
    <w:qFormat/>
    <w:uiPriority w:val="0"/>
    <w:rPr>
      <w:kern w:val="2"/>
      <w:sz w:val="21"/>
      <w:szCs w:val="24"/>
    </w:rPr>
  </w:style>
  <w:style w:type="character" w:customStyle="1" w:styleId="16">
    <w:name w:val="批注主题 字符"/>
    <w:basedOn w:val="15"/>
    <w:link w:val="7"/>
    <w:qFormat/>
    <w:uiPriority w:val="0"/>
    <w:rPr>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3785</Words>
  <Characters>3939</Characters>
  <Lines>30</Lines>
  <Paragraphs>8</Paragraphs>
  <TotalTime>9</TotalTime>
  <ScaleCrop>false</ScaleCrop>
  <LinksUpToDate>false</LinksUpToDate>
  <CharactersWithSpaces>4026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2026-05-06T08:20:00Z</dcterms:created>
  <dc:creator>Han</dc:creator>
  <cp:lastModifiedBy>韩凌</cp:lastModifiedBy>
  <dcterms:modified xsi:type="dcterms:W3CDTF">2026-07-08T08:01:34Z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8EDB0EE888794BC795970556245EAEF0_13</vt:lpwstr>
  </property>
  <property fmtid="{D5CDD505-2E9C-101B-9397-08002B2CF9AE}" pid="4" name="KSOTemplateDocerSaveRecord">
    <vt:lpwstr>eyJoZGlkIjoiZTczNGY5ODgyYTYzYTEwZTU5YThlOGUwYzdiNGRjMmQiLCJ1c2VySWQiOiIxNzQ5NTk3NzgzIn0=</vt:lpwstr>
  </property>
</Properties>
</file>